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5570BA">
        <w:rPr>
          <w:rFonts w:ascii="Berlin Sans FB" w:hAnsi="Berlin Sans FB"/>
          <w:b/>
          <w:sz w:val="24"/>
          <w:szCs w:val="24"/>
        </w:rPr>
        <w:t>LAW</w:t>
      </w:r>
    </w:p>
    <w:p w:rsidR="00055B79" w:rsidRDefault="00055B79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055B79" w:rsidRPr="001E3062" w:rsidRDefault="00055B79" w:rsidP="00055B79"/>
    <w:p w:rsidR="00055B79" w:rsidRDefault="00055B79" w:rsidP="00055B79">
      <w:pPr>
        <w:rPr>
          <w:b/>
        </w:rPr>
      </w:pPr>
      <w:r>
        <w:rPr>
          <w:b/>
        </w:rPr>
        <w:t xml:space="preserve">COURSE CODE: </w:t>
      </w:r>
      <w:r>
        <w:rPr>
          <w:b/>
        </w:rPr>
        <w:tab/>
      </w:r>
      <w:r>
        <w:rPr>
          <w:b/>
        </w:rPr>
        <w:tab/>
        <w:t>LAW</w:t>
      </w:r>
      <w:r w:rsidRPr="00055B79">
        <w:rPr>
          <w:b/>
        </w:rPr>
        <w:t>422</w:t>
      </w:r>
    </w:p>
    <w:p w:rsidR="00055B79" w:rsidRPr="00055B79" w:rsidRDefault="00055B79" w:rsidP="00055B79">
      <w:pPr>
        <w:rPr>
          <w:b/>
        </w:rPr>
      </w:pPr>
    </w:p>
    <w:p w:rsidR="00055B79" w:rsidRDefault="00055B79" w:rsidP="00055B79">
      <w:pPr>
        <w:rPr>
          <w:b/>
        </w:rPr>
      </w:pPr>
      <w:r w:rsidRPr="00055B79">
        <w:rPr>
          <w:b/>
        </w:rPr>
        <w:t xml:space="preserve">COURSE TITLE: </w:t>
      </w:r>
      <w:r>
        <w:rPr>
          <w:b/>
        </w:rPr>
        <w:tab/>
      </w:r>
      <w:r>
        <w:rPr>
          <w:b/>
        </w:rPr>
        <w:tab/>
      </w:r>
      <w:bookmarkStart w:id="0" w:name="_GoBack"/>
      <w:r w:rsidRPr="00055B79">
        <w:rPr>
          <w:b/>
        </w:rPr>
        <w:t>LAND LAW II</w:t>
      </w:r>
    </w:p>
    <w:bookmarkEnd w:id="0"/>
    <w:p w:rsidR="00055B79" w:rsidRPr="00055B79" w:rsidRDefault="00055B79" w:rsidP="00055B79">
      <w:pPr>
        <w:rPr>
          <w:b/>
        </w:rPr>
      </w:pPr>
    </w:p>
    <w:p w:rsidR="00055B79" w:rsidRPr="00055B79" w:rsidRDefault="00055B79" w:rsidP="00055B79">
      <w:pPr>
        <w:rPr>
          <w:b/>
        </w:rPr>
      </w:pPr>
      <w:r w:rsidRPr="00055B79">
        <w:rPr>
          <w:b/>
        </w:rPr>
        <w:t>TIME ALLOWED: 2 ½ HOURS</w:t>
      </w:r>
    </w:p>
    <w:p w:rsidR="00055B79" w:rsidRPr="00055B79" w:rsidRDefault="00055B79" w:rsidP="00055B79">
      <w:pPr>
        <w:rPr>
          <w:b/>
        </w:rPr>
      </w:pPr>
      <w:r w:rsidRPr="00055B79">
        <w:rPr>
          <w:b/>
        </w:rPr>
        <w:t>INSTRUCTION: QUESTION ONE IS COMPULSORYAND ANSWER ANY OTHER THREE (3) QUESTIONS. All questions carry equal marks</w:t>
      </w:r>
    </w:p>
    <w:p w:rsidR="00055B79" w:rsidRDefault="00055B79" w:rsidP="00055B79">
      <w:pPr>
        <w:rPr>
          <w:b/>
        </w:rPr>
      </w:pPr>
      <w:r w:rsidRPr="00055B79">
        <w:rPr>
          <w:b/>
        </w:rPr>
        <w:t>SECTION A: COMPULSORY</w:t>
      </w:r>
    </w:p>
    <w:p w:rsidR="00055B79" w:rsidRPr="00055B79" w:rsidRDefault="00055B79" w:rsidP="00055B79">
      <w:pPr>
        <w:rPr>
          <w:b/>
        </w:rPr>
      </w:pPr>
    </w:p>
    <w:p w:rsidR="00055B79" w:rsidRDefault="00055B79" w:rsidP="00055B79">
      <w:pPr>
        <w:pStyle w:val="ListParagraph"/>
        <w:numPr>
          <w:ilvl w:val="0"/>
          <w:numId w:val="10"/>
        </w:numPr>
        <w:jc w:val="both"/>
      </w:pPr>
      <w:r w:rsidRPr="00C02A34">
        <w:t xml:space="preserve">A). </w:t>
      </w:r>
      <w:proofErr w:type="gramStart"/>
      <w:r w:rsidRPr="00C02A34">
        <w:t>The</w:t>
      </w:r>
      <w:proofErr w:type="gramEnd"/>
      <w:r w:rsidRPr="00C02A34">
        <w:t xml:space="preserve"> view that that the English doctrine of Estate has been completely abolished by the Land Use Act 1078 is uninformed. Discuss</w:t>
      </w:r>
    </w:p>
    <w:p w:rsidR="00055B79" w:rsidRPr="00C02A34" w:rsidRDefault="00055B79" w:rsidP="00055B79">
      <w:pPr>
        <w:pStyle w:val="ListParagraph"/>
        <w:jc w:val="both"/>
      </w:pPr>
    </w:p>
    <w:p w:rsidR="00055B79" w:rsidRDefault="00055B79" w:rsidP="00055B79">
      <w:pPr>
        <w:pStyle w:val="ListParagraph"/>
        <w:numPr>
          <w:ilvl w:val="0"/>
          <w:numId w:val="12"/>
        </w:numPr>
        <w:jc w:val="both"/>
      </w:pPr>
      <w:proofErr w:type="spellStart"/>
      <w:r w:rsidRPr="005E78BE">
        <w:t>Asayambi</w:t>
      </w:r>
      <w:proofErr w:type="spellEnd"/>
      <w:r w:rsidRPr="005E78BE">
        <w:t xml:space="preserve"> inherited 2 hectares of land lying at Southern Island Industrial Layout Road, in </w:t>
      </w:r>
      <w:proofErr w:type="spellStart"/>
      <w:r w:rsidRPr="005E78BE">
        <w:t>Epe</w:t>
      </w:r>
      <w:proofErr w:type="spellEnd"/>
      <w:r w:rsidRPr="005E78BE">
        <w:t xml:space="preserve">, from his father. In April 2015, the Lagos State </w:t>
      </w:r>
      <w:r>
        <w:t>G</w:t>
      </w:r>
      <w:r w:rsidRPr="005E78BE">
        <w:t xml:space="preserve">overnment acquired the land for public purposes and paid the sum of Five Hundred Thousand Naira (N500, 000) as compensation. </w:t>
      </w:r>
      <w:proofErr w:type="spellStart"/>
      <w:r w:rsidRPr="005E78BE">
        <w:t>Asayambi</w:t>
      </w:r>
      <w:proofErr w:type="spellEnd"/>
      <w:r w:rsidRPr="005E78BE">
        <w:t xml:space="preserve"> sued the State Government at the State High court. The Government raised objection that the court lacked jurisdiction over the matter. </w:t>
      </w:r>
      <w:proofErr w:type="spellStart"/>
      <w:r w:rsidRPr="005E78BE">
        <w:t>Asayambi</w:t>
      </w:r>
      <w:proofErr w:type="spellEnd"/>
      <w:r w:rsidRPr="005E78BE">
        <w:t xml:space="preserve"> has appointed you his counsel in this case. </w:t>
      </w:r>
    </w:p>
    <w:p w:rsidR="00055B79" w:rsidRDefault="00055B79" w:rsidP="00055B79">
      <w:pPr>
        <w:pStyle w:val="ListParagraph"/>
        <w:jc w:val="both"/>
      </w:pPr>
      <w:r w:rsidRPr="005E78BE">
        <w:t xml:space="preserve">What would be your response to the government’s objection? How is compensation </w:t>
      </w:r>
    </w:p>
    <w:p w:rsidR="00055B79" w:rsidRDefault="00055B79" w:rsidP="00055B79">
      <w:pPr>
        <w:pStyle w:val="ListParagraph"/>
        <w:jc w:val="both"/>
      </w:pPr>
      <w:proofErr w:type="gramStart"/>
      <w:r w:rsidRPr="005E78BE">
        <w:t>assessed</w:t>
      </w:r>
      <w:proofErr w:type="gramEnd"/>
      <w:r w:rsidRPr="005E78BE">
        <w:t xml:space="preserve"> under the Land Use Act</w:t>
      </w:r>
      <w:r>
        <w:t xml:space="preserve">? </w:t>
      </w:r>
      <w:r w:rsidRPr="00101E2D">
        <w:t xml:space="preserve">Would the Governor be right if he had just </w:t>
      </w:r>
      <w:proofErr w:type="gramStart"/>
      <w:r w:rsidRPr="00101E2D">
        <w:t>revoked</w:t>
      </w:r>
      <w:proofErr w:type="gramEnd"/>
    </w:p>
    <w:p w:rsidR="00055B79" w:rsidRDefault="00055B79" w:rsidP="00055B79">
      <w:pPr>
        <w:pStyle w:val="ListParagraph"/>
        <w:jc w:val="both"/>
      </w:pPr>
      <w:proofErr w:type="gramStart"/>
      <w:r w:rsidRPr="00101E2D">
        <w:t>the</w:t>
      </w:r>
      <w:proofErr w:type="gramEnd"/>
      <w:r w:rsidRPr="00101E2D">
        <w:t xml:space="preserve"> land and re-allocate same to </w:t>
      </w:r>
      <w:r>
        <w:t xml:space="preserve">Madam </w:t>
      </w:r>
      <w:r w:rsidRPr="00101E2D">
        <w:t>Peace who is a Perm</w:t>
      </w:r>
      <w:r>
        <w:t xml:space="preserve">anent Secretary </w:t>
      </w:r>
      <w:r w:rsidRPr="00101E2D">
        <w:t xml:space="preserve">with one </w:t>
      </w:r>
    </w:p>
    <w:p w:rsidR="00055B79" w:rsidRPr="005E78BE" w:rsidRDefault="00055B79" w:rsidP="00055B79">
      <w:pPr>
        <w:pStyle w:val="ListParagraph"/>
        <w:jc w:val="both"/>
      </w:pPr>
      <w:proofErr w:type="gramStart"/>
      <w:r w:rsidRPr="00101E2D">
        <w:t>ofthe</w:t>
      </w:r>
      <w:proofErr w:type="gramEnd"/>
      <w:r w:rsidRPr="00101E2D">
        <w:t xml:space="preserve"> State agencies</w:t>
      </w:r>
      <w:r w:rsidRPr="005E78BE">
        <w:t>?State your reasons with statutory and judicial authorities</w:t>
      </w:r>
    </w:p>
    <w:p w:rsidR="00055B79" w:rsidRPr="001E3062" w:rsidRDefault="00055B79" w:rsidP="00055B79">
      <w:pPr>
        <w:pStyle w:val="ListParagraph"/>
        <w:spacing w:line="360" w:lineRule="auto"/>
        <w:jc w:val="both"/>
      </w:pPr>
    </w:p>
    <w:p w:rsidR="00055B79" w:rsidRPr="00961923" w:rsidRDefault="00055B79" w:rsidP="00055B79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</w:pPr>
      <w:r w:rsidRPr="00961923">
        <w:t>(a)</w:t>
      </w:r>
      <w:r w:rsidRPr="00961923">
        <w:tab/>
        <w:t xml:space="preserve">Distinguish between a </w:t>
      </w:r>
      <w:r>
        <w:t>M</w:t>
      </w:r>
      <w:r w:rsidRPr="00961923">
        <w:t xml:space="preserve">ortgage, a </w:t>
      </w:r>
      <w:r>
        <w:t xml:space="preserve">Pledge </w:t>
      </w:r>
      <w:r w:rsidRPr="00961923">
        <w:t>and a Charge.</w:t>
      </w:r>
    </w:p>
    <w:p w:rsidR="00055B79" w:rsidRPr="001E3062" w:rsidRDefault="00055B79" w:rsidP="00055B79">
      <w:pPr>
        <w:pStyle w:val="ListParagraph"/>
        <w:jc w:val="both"/>
      </w:pPr>
    </w:p>
    <w:p w:rsidR="00055B79" w:rsidRDefault="00055B79" w:rsidP="00055B79">
      <w:pPr>
        <w:pStyle w:val="ListParagraph"/>
        <w:ind w:left="1440" w:hanging="720"/>
        <w:jc w:val="both"/>
      </w:pPr>
      <w:r>
        <w:t>(b)</w:t>
      </w:r>
      <w:r>
        <w:tab/>
        <w:t xml:space="preserve">Competitive Bank Plc granted a loan to Chief </w:t>
      </w:r>
      <w:proofErr w:type="spellStart"/>
      <w:r>
        <w:t>Oleh</w:t>
      </w:r>
      <w:proofErr w:type="spellEnd"/>
      <w:r>
        <w:t xml:space="preserve"> having secured the loan with his property at </w:t>
      </w:r>
      <w:proofErr w:type="spellStart"/>
      <w:r>
        <w:t>Ikeja</w:t>
      </w:r>
      <w:proofErr w:type="spellEnd"/>
      <w:r>
        <w:t xml:space="preserve"> by deposit of the Deeds of the property, evidenced by a Memorandum under seal. The loan was for a period of 6 months with interest. At the expiration of the six months Competitive Bank Plc sold Chief </w:t>
      </w:r>
      <w:proofErr w:type="spellStart"/>
      <w:r>
        <w:t>Oleh’s</w:t>
      </w:r>
      <w:proofErr w:type="spellEnd"/>
      <w:r>
        <w:t xml:space="preserve"> property to </w:t>
      </w:r>
      <w:proofErr w:type="spellStart"/>
      <w:r>
        <w:t>Emeka</w:t>
      </w:r>
      <w:proofErr w:type="spellEnd"/>
      <w:r>
        <w:t xml:space="preserve"> and transferred legal title to him. Chief </w:t>
      </w:r>
      <w:proofErr w:type="spellStart"/>
      <w:r>
        <w:t>Oleh</w:t>
      </w:r>
      <w:proofErr w:type="spellEnd"/>
      <w:r>
        <w:t xml:space="preserve"> intends to bring an action to set aside the sale and recover the property from </w:t>
      </w:r>
      <w:proofErr w:type="spellStart"/>
      <w:r>
        <w:t>Emeka</w:t>
      </w:r>
      <w:proofErr w:type="spellEnd"/>
      <w:r>
        <w:t xml:space="preserve">. </w:t>
      </w:r>
    </w:p>
    <w:p w:rsidR="00055B79" w:rsidRPr="001E3062" w:rsidRDefault="00055B79" w:rsidP="00055B79">
      <w:pPr>
        <w:pStyle w:val="ListParagraph"/>
        <w:ind w:left="1440" w:hanging="720"/>
        <w:jc w:val="both"/>
      </w:pPr>
      <w:r>
        <w:lastRenderedPageBreak/>
        <w:t xml:space="preserve">           Advise the parties.</w:t>
      </w:r>
    </w:p>
    <w:p w:rsidR="00055B79" w:rsidRPr="001E3062" w:rsidRDefault="00055B79" w:rsidP="00055B79">
      <w:pPr>
        <w:pStyle w:val="ListParagraph"/>
        <w:jc w:val="both"/>
      </w:pPr>
    </w:p>
    <w:p w:rsidR="00055B79" w:rsidRPr="007F1068" w:rsidRDefault="00055B79" w:rsidP="00055B79">
      <w:pPr>
        <w:jc w:val="both"/>
      </w:pPr>
      <w:r>
        <w:t xml:space="preserve">3a.             </w:t>
      </w:r>
      <w:r w:rsidRPr="007A592B">
        <w:t>The</w:t>
      </w:r>
      <w:r>
        <w:t xml:space="preserve">distinction between easement and restrictive covenant is tenuous. Discuss            </w:t>
      </w:r>
    </w:p>
    <w:p w:rsidR="00055B79" w:rsidRDefault="00055B79" w:rsidP="00055B79">
      <w:pPr>
        <w:jc w:val="both"/>
      </w:pPr>
      <w:r>
        <w:t>3</w:t>
      </w:r>
      <w:r w:rsidRPr="007F1068">
        <w:t>b.</w:t>
      </w:r>
      <w:r w:rsidRPr="007F1068">
        <w:tab/>
      </w:r>
      <w:proofErr w:type="spellStart"/>
      <w:r>
        <w:t>Bukuola</w:t>
      </w:r>
      <w:proofErr w:type="spellEnd"/>
      <w:r>
        <w:t xml:space="preserve"> a political stalwart, is the owner of two outgoing properties- Green acre and </w:t>
      </w:r>
    </w:p>
    <w:p w:rsidR="00055B79" w:rsidRDefault="00055B79" w:rsidP="00055B79">
      <w:pPr>
        <w:jc w:val="both"/>
      </w:pPr>
      <w:r>
        <w:t xml:space="preserve">          Grey acre. Whilst in the control of the two, he was residing in Green acre and habitually </w:t>
      </w:r>
    </w:p>
    <w:p w:rsidR="00055B79" w:rsidRDefault="00055B79" w:rsidP="00055B79">
      <w:pPr>
        <w:jc w:val="both"/>
      </w:pPr>
      <w:proofErr w:type="gramStart"/>
      <w:r>
        <w:t>hosting</w:t>
      </w:r>
      <w:proofErr w:type="gramEnd"/>
      <w:r>
        <w:t xml:space="preserve"> his political associates on Grey acre. About four years ago, he gave out Grey acre a </w:t>
      </w:r>
    </w:p>
    <w:p w:rsidR="00055B79" w:rsidRDefault="00055B79" w:rsidP="00055B79">
      <w:pPr>
        <w:jc w:val="both"/>
      </w:pPr>
      <w:proofErr w:type="gramStart"/>
      <w:r>
        <w:t>bungalow</w:t>
      </w:r>
      <w:proofErr w:type="gramEnd"/>
      <w:r>
        <w:t xml:space="preserve">, to his personal Assistant </w:t>
      </w:r>
      <w:proofErr w:type="spellStart"/>
      <w:r>
        <w:t>Tola</w:t>
      </w:r>
      <w:proofErr w:type="spellEnd"/>
      <w:r>
        <w:t xml:space="preserve">. Meanwhile the only source of water supply to </w:t>
      </w:r>
    </w:p>
    <w:p w:rsidR="00055B79" w:rsidRDefault="00055B79" w:rsidP="00055B79">
      <w:pPr>
        <w:jc w:val="both"/>
      </w:pPr>
      <w:r>
        <w:t xml:space="preserve">        Grey acre is from Green acre. Some few months ago following his election as the chairman   </w:t>
      </w:r>
    </w:p>
    <w:p w:rsidR="00055B79" w:rsidRDefault="00055B79" w:rsidP="00055B79">
      <w:pPr>
        <w:jc w:val="both"/>
      </w:pPr>
      <w:proofErr w:type="gramStart"/>
      <w:r>
        <w:t>of</w:t>
      </w:r>
      <w:proofErr w:type="gramEnd"/>
      <w:r>
        <w:t xml:space="preserve"> his party DPC, </w:t>
      </w:r>
      <w:proofErr w:type="spellStart"/>
      <w:r>
        <w:t>Bukuola</w:t>
      </w:r>
      <w:proofErr w:type="spellEnd"/>
      <w:r>
        <w:t xml:space="preserve"> wants to resume his usual political meetings on Green acre.</w:t>
      </w:r>
    </w:p>
    <w:p w:rsidR="00055B79" w:rsidRDefault="00055B79" w:rsidP="00055B79">
      <w:pPr>
        <w:jc w:val="both"/>
      </w:pPr>
    </w:p>
    <w:p w:rsidR="00055B79" w:rsidRPr="00460E18" w:rsidRDefault="00055B79" w:rsidP="00055B79">
      <w:pPr>
        <w:jc w:val="both"/>
      </w:pPr>
    </w:p>
    <w:p w:rsidR="00055B79" w:rsidRPr="004631ED" w:rsidRDefault="00055B79" w:rsidP="00055B7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b/>
        </w:rPr>
      </w:pPr>
      <w:r>
        <w:t>a. Discuss the legal requirements of a valid lease.</w:t>
      </w:r>
    </w:p>
    <w:p w:rsidR="00055B79" w:rsidRPr="004631ED" w:rsidRDefault="00055B79" w:rsidP="00055B7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b/>
        </w:rPr>
      </w:pPr>
      <w:proofErr w:type="spellStart"/>
      <w:r>
        <w:t>Bala</w:t>
      </w:r>
      <w:proofErr w:type="spellEnd"/>
      <w:r>
        <w:t xml:space="preserve"> created a ten year lease over a 3 bedroom flat in </w:t>
      </w:r>
      <w:proofErr w:type="spellStart"/>
      <w:r>
        <w:t>favour</w:t>
      </w:r>
      <w:proofErr w:type="spellEnd"/>
      <w:r>
        <w:t xml:space="preserve"> of Musa in February 2000. The lease agreement contained the following covenants amongst others:</w:t>
      </w:r>
    </w:p>
    <w:p w:rsidR="00055B79" w:rsidRPr="004631ED" w:rsidRDefault="00055B79" w:rsidP="00055B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b/>
        </w:rPr>
      </w:pPr>
      <w:r>
        <w:t>That the lease shall not assign or sublet the apartment</w:t>
      </w:r>
    </w:p>
    <w:p w:rsidR="00055B79" w:rsidRPr="004631ED" w:rsidRDefault="00055B79" w:rsidP="00055B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b/>
        </w:rPr>
      </w:pPr>
      <w:r>
        <w:t xml:space="preserve">That the lease may exercise an option to purchase at a price to be fixed by the </w:t>
      </w:r>
      <w:proofErr w:type="spellStart"/>
      <w:r>
        <w:t>leasor</w:t>
      </w:r>
      <w:proofErr w:type="spellEnd"/>
      <w:r>
        <w:t xml:space="preserve"> at the expiration of the term.</w:t>
      </w:r>
    </w:p>
    <w:p w:rsidR="00055B79" w:rsidRDefault="00055B79" w:rsidP="00055B79">
      <w:pPr>
        <w:ind w:left="1080"/>
        <w:jc w:val="both"/>
      </w:pPr>
      <w:r>
        <w:t xml:space="preserve">Sometimes in 2004, Musa sublet a room to </w:t>
      </w:r>
      <w:proofErr w:type="spellStart"/>
      <w:r>
        <w:t>Daudu</w:t>
      </w:r>
      <w:proofErr w:type="spellEnd"/>
      <w:r>
        <w:t xml:space="preserve"> for 5 years and upon the expiration in 2010, Musa notified </w:t>
      </w:r>
      <w:proofErr w:type="spellStart"/>
      <w:r>
        <w:t>Bala</w:t>
      </w:r>
      <w:proofErr w:type="spellEnd"/>
      <w:r>
        <w:t xml:space="preserve"> of his intention to purchase the reversion and asked that the price be indicated </w:t>
      </w:r>
      <w:proofErr w:type="spellStart"/>
      <w:r>
        <w:t>Bala</w:t>
      </w:r>
      <w:proofErr w:type="spellEnd"/>
      <w:r>
        <w:t xml:space="preserve"> contended that he was not bound to sell the reversion and that in any case Musa had breached a covenant in the lease which he resolved to bring an action for forfeiture.</w:t>
      </w:r>
    </w:p>
    <w:p w:rsidR="00055B79" w:rsidRDefault="00055B79" w:rsidP="00055B79">
      <w:pPr>
        <w:ind w:left="1080"/>
        <w:jc w:val="both"/>
      </w:pPr>
      <w:proofErr w:type="gramStart"/>
      <w:r>
        <w:t>Advice the parties.</w:t>
      </w:r>
      <w:proofErr w:type="gramEnd"/>
    </w:p>
    <w:p w:rsidR="00055B79" w:rsidRDefault="00055B79" w:rsidP="00055B79">
      <w:pPr>
        <w:ind w:left="1080"/>
        <w:jc w:val="both"/>
      </w:pPr>
    </w:p>
    <w:p w:rsidR="00055B79" w:rsidRPr="0091526C" w:rsidRDefault="00055B79" w:rsidP="00055B7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b/>
        </w:rPr>
      </w:pPr>
      <w:r>
        <w:t xml:space="preserve">Dele, </w:t>
      </w:r>
      <w:proofErr w:type="spellStart"/>
      <w:r>
        <w:t>Aishat</w:t>
      </w:r>
      <w:proofErr w:type="spellEnd"/>
      <w:r>
        <w:t xml:space="preserve">, </w:t>
      </w:r>
      <w:proofErr w:type="spellStart"/>
      <w:r>
        <w:t>Lanre</w:t>
      </w:r>
      <w:proofErr w:type="spellEnd"/>
      <w:r>
        <w:t xml:space="preserve"> and </w:t>
      </w:r>
      <w:proofErr w:type="spellStart"/>
      <w:r>
        <w:t>Lamide</w:t>
      </w:r>
      <w:proofErr w:type="spellEnd"/>
      <w:r>
        <w:t xml:space="preserve"> formed a pop group in 2012, and decided to buy a house together situated near the recording studios at </w:t>
      </w:r>
      <w:proofErr w:type="spellStart"/>
      <w:r>
        <w:t>Alausa</w:t>
      </w:r>
      <w:proofErr w:type="spellEnd"/>
      <w:r>
        <w:t xml:space="preserve">, Lagos State. Four of them contributed equally to the purchase price and the house was assigned to Dele, </w:t>
      </w:r>
      <w:proofErr w:type="spellStart"/>
      <w:r>
        <w:t>Lanre</w:t>
      </w:r>
      <w:proofErr w:type="spellEnd"/>
      <w:r>
        <w:t xml:space="preserve"> and </w:t>
      </w:r>
      <w:proofErr w:type="spellStart"/>
      <w:r>
        <w:t>Lamide</w:t>
      </w:r>
      <w:proofErr w:type="spellEnd"/>
      <w:r>
        <w:t xml:space="preserve">, </w:t>
      </w:r>
      <w:proofErr w:type="spellStart"/>
      <w:r>
        <w:t>Aishat</w:t>
      </w:r>
      <w:proofErr w:type="spellEnd"/>
      <w:r>
        <w:t xml:space="preserve"> was 15years at the time of the conveyance. The pop group was not a success and in 2014, Dele sold his interest in the house to </w:t>
      </w:r>
      <w:proofErr w:type="spellStart"/>
      <w:r>
        <w:t>Lamide</w:t>
      </w:r>
      <w:proofErr w:type="spellEnd"/>
      <w:r>
        <w:t xml:space="preserve">. Shortly afterwards </w:t>
      </w:r>
      <w:proofErr w:type="spellStart"/>
      <w:r>
        <w:t>Lanre</w:t>
      </w:r>
      <w:proofErr w:type="spellEnd"/>
      <w:r>
        <w:t xml:space="preserve"> wrote to </w:t>
      </w:r>
      <w:proofErr w:type="spellStart"/>
      <w:r>
        <w:t>Lamide</w:t>
      </w:r>
      <w:proofErr w:type="spellEnd"/>
      <w:r>
        <w:t xml:space="preserve"> offering to sell him his interest for a certain price. </w:t>
      </w:r>
      <w:proofErr w:type="spellStart"/>
      <w:r>
        <w:t>Lamide</w:t>
      </w:r>
      <w:proofErr w:type="spellEnd"/>
      <w:r>
        <w:t xml:space="preserve"> replied that he would be happy to purchase </w:t>
      </w:r>
      <w:proofErr w:type="spellStart"/>
      <w:r>
        <w:t>Lanre’s</w:t>
      </w:r>
      <w:proofErr w:type="spellEnd"/>
      <w:r>
        <w:t xml:space="preserve"> interest but that the price was too high. Before any negotiation took place, </w:t>
      </w:r>
      <w:proofErr w:type="spellStart"/>
      <w:r>
        <w:t>Lanre</w:t>
      </w:r>
      <w:proofErr w:type="spellEnd"/>
      <w:r>
        <w:t xml:space="preserve"> was killed in a motor accident. In his will he left all his property to his son </w:t>
      </w:r>
      <w:proofErr w:type="spellStart"/>
      <w:r>
        <w:t>Jide</w:t>
      </w:r>
      <w:proofErr w:type="spellEnd"/>
      <w:r>
        <w:t xml:space="preserve">. </w:t>
      </w:r>
      <w:proofErr w:type="spellStart"/>
      <w:r>
        <w:t>Aishat</w:t>
      </w:r>
      <w:proofErr w:type="spellEnd"/>
      <w:r>
        <w:t xml:space="preserve"> now wishes the house to be sold whereas </w:t>
      </w:r>
      <w:proofErr w:type="spellStart"/>
      <w:r>
        <w:t>Lamide</w:t>
      </w:r>
      <w:proofErr w:type="spellEnd"/>
      <w:r>
        <w:t xml:space="preserve"> wished to continue living there.</w:t>
      </w:r>
    </w:p>
    <w:p w:rsidR="00055B79" w:rsidRDefault="00055B79" w:rsidP="00055B79">
      <w:pPr>
        <w:pStyle w:val="ListParagraph"/>
        <w:jc w:val="both"/>
      </w:pPr>
    </w:p>
    <w:p w:rsidR="00055B79" w:rsidRDefault="00055B79" w:rsidP="00055B79">
      <w:pPr>
        <w:pStyle w:val="ListParagraph"/>
        <w:jc w:val="both"/>
      </w:pPr>
      <w:proofErr w:type="spellStart"/>
      <w:r>
        <w:t>Aishat</w:t>
      </w:r>
      <w:proofErr w:type="spellEnd"/>
      <w:r>
        <w:t xml:space="preserve"> and </w:t>
      </w:r>
      <w:proofErr w:type="spellStart"/>
      <w:r>
        <w:t>Jide</w:t>
      </w:r>
      <w:proofErr w:type="spellEnd"/>
      <w:r>
        <w:t xml:space="preserve"> would like to know whether they can force a sale of the house, and, if so, how the proceeds would be divided. Discuss the Legal issues raised and advise </w:t>
      </w:r>
      <w:proofErr w:type="spellStart"/>
      <w:r>
        <w:t>Aishat</w:t>
      </w:r>
      <w:proofErr w:type="spellEnd"/>
      <w:r>
        <w:t xml:space="preserve">. </w:t>
      </w:r>
    </w:p>
    <w:p w:rsidR="00055B79" w:rsidRDefault="00055B79" w:rsidP="00055B79">
      <w:pPr>
        <w:pStyle w:val="ListParagraph"/>
        <w:jc w:val="both"/>
      </w:pPr>
    </w:p>
    <w:p w:rsidR="00055B79" w:rsidRPr="00BD10D5" w:rsidRDefault="00055B79" w:rsidP="00055B79">
      <w:pPr>
        <w:pStyle w:val="ListParagraph"/>
        <w:numPr>
          <w:ilvl w:val="0"/>
          <w:numId w:val="11"/>
        </w:numPr>
        <w:spacing w:after="200" w:line="276" w:lineRule="auto"/>
        <w:jc w:val="both"/>
      </w:pPr>
      <w:r w:rsidRPr="00BD10D5">
        <w:t>Write short notes on the following:</w:t>
      </w:r>
    </w:p>
    <w:p w:rsidR="00055B79" w:rsidRPr="00BD10D5" w:rsidRDefault="00055B79" w:rsidP="00055B79">
      <w:pPr>
        <w:pStyle w:val="ListParagraph"/>
        <w:jc w:val="both"/>
      </w:pPr>
      <w:r w:rsidRPr="00BD10D5">
        <w:t>(</w:t>
      </w:r>
      <w:proofErr w:type="gramStart"/>
      <w:r w:rsidRPr="00BD10D5">
        <w:t>a</w:t>
      </w:r>
      <w:proofErr w:type="gramEnd"/>
      <w:r w:rsidRPr="00BD10D5">
        <w:t>). Certificate of Occupancy</w:t>
      </w:r>
    </w:p>
    <w:p w:rsidR="00055B79" w:rsidRPr="00BD10D5" w:rsidRDefault="00055B79" w:rsidP="00055B79">
      <w:pPr>
        <w:pStyle w:val="ListParagraph"/>
        <w:jc w:val="both"/>
      </w:pPr>
      <w:r w:rsidRPr="00BD10D5">
        <w:t>(b). Inconsistent grant under Section 5(2) of the Land Use Act 1978</w:t>
      </w:r>
    </w:p>
    <w:p w:rsidR="00055B79" w:rsidRDefault="00055B79" w:rsidP="00055B79">
      <w:pPr>
        <w:pStyle w:val="ListParagraph"/>
        <w:jc w:val="both"/>
        <w:rPr>
          <w:b/>
        </w:rPr>
      </w:pPr>
      <w:r w:rsidRPr="00BD10D5">
        <w:t xml:space="preserve">(c). </w:t>
      </w:r>
      <w:r>
        <w:t xml:space="preserve">Doctrine in Walsh V Lonsdale </w:t>
      </w:r>
      <w:r>
        <w:rPr>
          <w:sz w:val="23"/>
          <w:szCs w:val="23"/>
        </w:rPr>
        <w:t>(</w:t>
      </w:r>
      <w:r w:rsidRPr="00B9130E">
        <w:t xml:space="preserve">1882) 21 </w:t>
      </w:r>
      <w:proofErr w:type="spellStart"/>
      <w:r w:rsidRPr="00B9130E">
        <w:t>Ch.D</w:t>
      </w:r>
      <w:proofErr w:type="spellEnd"/>
      <w:r w:rsidRPr="00B9130E">
        <w:t xml:space="preserve"> 9</w:t>
      </w:r>
    </w:p>
    <w:p w:rsidR="00055B79" w:rsidRPr="00B76D61" w:rsidRDefault="00055B79" w:rsidP="00055B79">
      <w:pPr>
        <w:pStyle w:val="NoSpacing"/>
        <w:ind w:right="-720"/>
        <w:rPr>
          <w:rFonts w:ascii="Berlin Sans FB" w:hAnsi="Berlin Sans FB"/>
          <w:b/>
          <w:sz w:val="24"/>
          <w:szCs w:val="24"/>
        </w:rPr>
      </w:pPr>
    </w:p>
    <w:sectPr w:rsidR="00055B79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44A8F"/>
    <w:multiLevelType w:val="hybridMultilevel"/>
    <w:tmpl w:val="672A25F8"/>
    <w:lvl w:ilvl="0" w:tplc="51CC92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78C"/>
    <w:multiLevelType w:val="hybridMultilevel"/>
    <w:tmpl w:val="B202877C"/>
    <w:lvl w:ilvl="0" w:tplc="55B0912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132CF"/>
    <w:multiLevelType w:val="hybridMultilevel"/>
    <w:tmpl w:val="0862D894"/>
    <w:lvl w:ilvl="0" w:tplc="C0E0E59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7F34054"/>
    <w:multiLevelType w:val="hybridMultilevel"/>
    <w:tmpl w:val="5732A7AA"/>
    <w:lvl w:ilvl="0" w:tplc="D21AE67E">
      <w:start w:val="4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1605A"/>
    <w:multiLevelType w:val="hybridMultilevel"/>
    <w:tmpl w:val="7EC4A7DC"/>
    <w:lvl w:ilvl="0" w:tplc="0F06C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55B79"/>
    <w:rsid w:val="00071403"/>
    <w:rsid w:val="00084419"/>
    <w:rsid w:val="000C6207"/>
    <w:rsid w:val="00146FDA"/>
    <w:rsid w:val="00155A15"/>
    <w:rsid w:val="001B58C8"/>
    <w:rsid w:val="001F765F"/>
    <w:rsid w:val="00205641"/>
    <w:rsid w:val="00217242"/>
    <w:rsid w:val="00232F32"/>
    <w:rsid w:val="0032540D"/>
    <w:rsid w:val="003510A0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2015-10-12T07:20:00Z</cp:lastPrinted>
  <dcterms:created xsi:type="dcterms:W3CDTF">2015-10-12T07:38:00Z</dcterms:created>
  <dcterms:modified xsi:type="dcterms:W3CDTF">2015-10-12T07:38:00Z</dcterms:modified>
</cp:coreProperties>
</file>